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73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jc w:val="center"/>
      <w:rPr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101600</wp:posOffset>
              </wp:positionV>
              <wp:extent cx="6705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90660" y="3780000"/>
                        <a:ext cx="67106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dot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101600</wp:posOffset>
              </wp:positionV>
              <wp:extent cx="67056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jc w:val="center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Komunitní centrum Petrklíč, z. s., Smetanova 1450, 560 02 Česká Třebová, IČ 037 76 395, </w:t>
    </w:r>
    <w:hyperlink r:id="rId2">
      <w:r w:rsidDel="00000000" w:rsidR="00000000" w:rsidRPr="00000000">
        <w:rPr>
          <w:rFonts w:ascii="Calibri" w:cs="Calibri" w:eastAsia="Calibri" w:hAnsi="Calibri"/>
          <w:b w:val="0"/>
          <w:color w:val="0000ff"/>
          <w:sz w:val="20"/>
          <w:szCs w:val="20"/>
          <w:u w:val="none"/>
          <w:rtl w:val="0"/>
        </w:rPr>
        <w:t xml:space="preserve">kancelar@petrklice.cz</w:t>
      </w:r>
    </w:hyperlink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, www.petrklice.cz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0" w:line="276" w:lineRule="auto"/>
      <w:jc w:val="center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Poskytovatel sociálních služeb registrovaných podle zák. 108/2006 Sb., o sociálních službách.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37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1801368" cy="606552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368" cy="6065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kancelar@petrklic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